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shd w:fill="ffffff" w:val="clear"/>
        <w:spacing w:after="0" w:before="0" w:line="276" w:lineRule="auto"/>
        <w:jc w:val="left"/>
        <w:rPr>
          <w:rFonts w:ascii="Calibri" w:cs="Calibri" w:eastAsia="Calibri" w:hAnsi="Calibri"/>
          <w:b w:val="1"/>
          <w:sz w:val="17"/>
          <w:szCs w:val="17"/>
        </w:rPr>
      </w:pPr>
      <w:bookmarkStart w:colFirst="0" w:colLast="0" w:name="_qo9h4ng5diw9" w:id="0"/>
      <w:bookmarkEnd w:id="0"/>
      <w:r w:rsidDel="00000000" w:rsidR="00000000" w:rsidRPr="00000000">
        <w:rPr>
          <w:rFonts w:ascii="Calibri" w:cs="Calibri" w:eastAsia="Calibri" w:hAnsi="Calibri"/>
          <w:b w:val="1"/>
          <w:sz w:val="17"/>
          <w:szCs w:val="17"/>
          <w:rtl w:val="0"/>
        </w:rPr>
        <w:tab/>
      </w:r>
    </w:p>
    <w:p w:rsidR="00000000" w:rsidDel="00000000" w:rsidP="00000000" w:rsidRDefault="00000000" w:rsidRPr="00000000" w14:paraId="00000002">
      <w:pPr>
        <w:pageBreakBefore w:val="0"/>
        <w:jc w:val="center"/>
        <w:rPr>
          <w:rFonts w:ascii="Montserrat" w:cs="Montserrat" w:eastAsia="Montserrat" w:hAnsi="Montserrat"/>
          <w:b w:val="1"/>
          <w:i w:val="1"/>
          <w:color w:val="666666"/>
          <w:sz w:val="20"/>
          <w:szCs w:val="20"/>
        </w:rPr>
      </w:pPr>
      <w:r w:rsidDel="00000000" w:rsidR="00000000" w:rsidRPr="00000000">
        <w:rPr>
          <w:rFonts w:ascii="Montserrat" w:cs="Montserrat" w:eastAsia="Montserrat" w:hAnsi="Montserrat"/>
          <w:b w:val="1"/>
          <w:sz w:val="36"/>
          <w:szCs w:val="36"/>
          <w:rtl w:val="0"/>
        </w:rPr>
        <w:t xml:space="preserve">Essilor se alía con </w:t>
      </w:r>
      <w:r w:rsidDel="00000000" w:rsidR="00000000" w:rsidRPr="00000000">
        <w:rPr>
          <w:rFonts w:ascii="Montserrat" w:cs="Montserrat" w:eastAsia="Montserrat" w:hAnsi="Montserrat"/>
          <w:b w:val="1"/>
          <w:sz w:val="36"/>
          <w:szCs w:val="36"/>
          <w:rtl w:val="0"/>
        </w:rPr>
        <w:t xml:space="preserve">M</w:t>
      </w:r>
      <w:r w:rsidDel="00000000" w:rsidR="00000000" w:rsidRPr="00000000">
        <w:rPr>
          <w:rFonts w:ascii="Montserrat" w:cs="Montserrat" w:eastAsia="Montserrat" w:hAnsi="Montserrat"/>
          <w:b w:val="1"/>
          <w:sz w:val="36"/>
          <w:szCs w:val="36"/>
          <w:rtl w:val="0"/>
        </w:rPr>
        <w:t xml:space="preserve">iraflex para mejorar </w:t>
        <w:br w:type="textWrapping"/>
        <w:t xml:space="preserve">la salud visual de niños y adolescentes</w:t>
      </w:r>
      <w:r w:rsidDel="00000000" w:rsidR="00000000" w:rsidRPr="00000000">
        <w:rPr>
          <w:rtl w:val="0"/>
        </w:rPr>
      </w:r>
    </w:p>
    <w:p w:rsidR="00000000" w:rsidDel="00000000" w:rsidP="00000000" w:rsidRDefault="00000000" w:rsidRPr="00000000" w14:paraId="00000003">
      <w:pPr>
        <w:pageBreakBefore w:val="0"/>
        <w:numPr>
          <w:ilvl w:val="0"/>
          <w:numId w:val="1"/>
        </w:numPr>
        <w:spacing w:after="0" w:afterAutospacing="0" w:before="240" w:lineRule="auto"/>
        <w:ind w:left="425.19685039370086" w:firstLine="15"/>
        <w:jc w:val="both"/>
        <w:rPr>
          <w:rFonts w:ascii="Calibri" w:cs="Calibri" w:eastAsia="Calibri" w:hAnsi="Calibri"/>
          <w:sz w:val="13"/>
          <w:szCs w:val="13"/>
        </w:rPr>
      </w:pPr>
      <w:r w:rsidDel="00000000" w:rsidR="00000000" w:rsidRPr="00000000">
        <w:rPr>
          <w:rFonts w:ascii="Montserrat" w:cs="Montserrat" w:eastAsia="Montserrat" w:hAnsi="Montserrat"/>
          <w:b w:val="1"/>
          <w:i w:val="1"/>
          <w:color w:val="666666"/>
          <w:sz w:val="20"/>
          <w:szCs w:val="20"/>
          <w:rtl w:val="0"/>
        </w:rPr>
        <w:t xml:space="preserve">El 80% de la población infantil sufre algún tipo de error refractivo: UNAM.</w:t>
      </w:r>
      <w:r w:rsidDel="00000000" w:rsidR="00000000" w:rsidRPr="00000000">
        <w:rPr>
          <w:rtl w:val="0"/>
        </w:rPr>
      </w:r>
    </w:p>
    <w:p w:rsidR="00000000" w:rsidDel="00000000" w:rsidP="00000000" w:rsidRDefault="00000000" w:rsidRPr="00000000" w14:paraId="00000004">
      <w:pPr>
        <w:pageBreakBefore w:val="0"/>
        <w:numPr>
          <w:ilvl w:val="0"/>
          <w:numId w:val="1"/>
        </w:numPr>
        <w:spacing w:after="240" w:before="0" w:beforeAutospacing="0" w:lineRule="auto"/>
        <w:ind w:left="720" w:hanging="360"/>
        <w:jc w:val="both"/>
        <w:rPr>
          <w:rFonts w:ascii="Calibri" w:cs="Calibri" w:eastAsia="Calibri" w:hAnsi="Calibri"/>
          <w:sz w:val="13"/>
          <w:szCs w:val="13"/>
        </w:rPr>
      </w:pPr>
      <w:r w:rsidDel="00000000" w:rsidR="00000000" w:rsidRPr="00000000">
        <w:rPr>
          <w:rFonts w:ascii="Montserrat" w:cs="Montserrat" w:eastAsia="Montserrat" w:hAnsi="Montserrat"/>
          <w:b w:val="1"/>
          <w:i w:val="1"/>
          <w:color w:val="666666"/>
          <w:sz w:val="20"/>
          <w:szCs w:val="20"/>
          <w:rtl w:val="0"/>
        </w:rPr>
        <w:t xml:space="preserve">Para el 2025, 70% de los menores con actividades de visión cercana tendrá miopía.</w:t>
      </w:r>
    </w:p>
    <w:p w:rsidR="00000000" w:rsidDel="00000000" w:rsidP="00000000" w:rsidRDefault="00000000" w:rsidRPr="00000000" w14:paraId="00000005">
      <w:pPr>
        <w:pageBreakBefore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w:t>
      </w:r>
      <w:hyperlink r:id="rId6">
        <w:r w:rsidDel="00000000" w:rsidR="00000000" w:rsidRPr="00000000">
          <w:rPr>
            <w:rFonts w:ascii="Montserrat" w:cs="Montserrat" w:eastAsia="Montserrat" w:hAnsi="Montserrat"/>
            <w:color w:val="1155cc"/>
            <w:sz w:val="20"/>
            <w:szCs w:val="20"/>
            <w:u w:val="single"/>
            <w:rtl w:val="0"/>
          </w:rPr>
          <w:t xml:space="preserve">OMS</w:t>
        </w:r>
      </w:hyperlink>
      <w:r w:rsidDel="00000000" w:rsidR="00000000" w:rsidRPr="00000000">
        <w:rPr>
          <w:rFonts w:ascii="Montserrat" w:cs="Montserrat" w:eastAsia="Montserrat" w:hAnsi="Montserrat"/>
          <w:sz w:val="20"/>
          <w:szCs w:val="20"/>
          <w:rtl w:val="0"/>
        </w:rPr>
        <w:t xml:space="preserve"> señala que al menos 2,200 millones de personas tienen deficiencia visual o ceguera en el planeta; de estos casos, casi la mitad (más de 1,000 millones) podrían haberse evitado. </w:t>
      </w:r>
    </w:p>
    <w:p w:rsidR="00000000" w:rsidDel="00000000" w:rsidP="00000000" w:rsidRDefault="00000000" w:rsidRPr="00000000" w14:paraId="00000006">
      <w:pPr>
        <w:pageBreakBefore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7">
      <w:pPr>
        <w:pageBreakBefore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Fomentar la cultura de la prevención es importante para garantizar la salud visual de todos, sobre todo de los niños, quienes desarrollan su vista entre el nacimiento y los 7 años, tiempo suficiente para detectar y corregir algún error refractivo ocular que después podría ser irreversible.</w:t>
      </w:r>
    </w:p>
    <w:p w:rsidR="00000000" w:rsidDel="00000000" w:rsidP="00000000" w:rsidRDefault="00000000" w:rsidRPr="00000000" w14:paraId="00000008">
      <w:pPr>
        <w:pageBreakBefore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9">
      <w:pPr>
        <w:pageBreakBefore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 error refractivo es cuando por la forma o longitud anormal del globo ocular, la luz no enfoca en la retina, provocando visión borrosa; de acuerdo con la </w:t>
      </w:r>
      <w:hyperlink r:id="rId7">
        <w:r w:rsidDel="00000000" w:rsidR="00000000" w:rsidRPr="00000000">
          <w:rPr>
            <w:rFonts w:ascii="Montserrat" w:cs="Montserrat" w:eastAsia="Montserrat" w:hAnsi="Montserrat"/>
            <w:color w:val="1155cc"/>
            <w:sz w:val="20"/>
            <w:szCs w:val="20"/>
            <w:u w:val="single"/>
            <w:rtl w:val="0"/>
          </w:rPr>
          <w:t xml:space="preserve">UNAM</w:t>
        </w:r>
      </w:hyperlink>
      <w:r w:rsidDel="00000000" w:rsidR="00000000" w:rsidRPr="00000000">
        <w:rPr>
          <w:rFonts w:ascii="Montserrat" w:cs="Montserrat" w:eastAsia="Montserrat" w:hAnsi="Montserrat"/>
          <w:sz w:val="20"/>
          <w:szCs w:val="20"/>
          <w:rtl w:val="0"/>
        </w:rPr>
        <w:t xml:space="preserve">, cerca del 80% de la población infantil mundial padece alguno.</w:t>
      </w:r>
      <w:r w:rsidDel="00000000" w:rsidR="00000000" w:rsidRPr="00000000">
        <w:rPr>
          <w:rFonts w:ascii="Montserrat" w:cs="Montserrat" w:eastAsia="Montserrat" w:hAnsi="Montserrat"/>
          <w:sz w:val="20"/>
          <w:szCs w:val="20"/>
          <w:rtl w:val="0"/>
        </w:rPr>
        <w:t xml:space="preserve"> Actualmente, con el exponencial uso de dispositivos digitales,</w:t>
      </w:r>
      <w:r w:rsidDel="00000000" w:rsidR="00000000" w:rsidRPr="00000000">
        <w:rPr>
          <w:rFonts w:ascii="Montserrat" w:cs="Montserrat" w:eastAsia="Montserrat" w:hAnsi="Montserrat"/>
          <w:color w:val="ff0000"/>
          <w:sz w:val="20"/>
          <w:szCs w:val="20"/>
          <w:rtl w:val="0"/>
        </w:rPr>
        <w:t xml:space="preserve"> </w:t>
      </w:r>
      <w:r w:rsidDel="00000000" w:rsidR="00000000" w:rsidRPr="00000000">
        <w:rPr>
          <w:rFonts w:ascii="Montserrat" w:cs="Montserrat" w:eastAsia="Montserrat" w:hAnsi="Montserrat"/>
          <w:sz w:val="20"/>
          <w:szCs w:val="20"/>
          <w:rtl w:val="0"/>
        </w:rPr>
        <w:t xml:space="preserve">encontrar miopía (dificultad para ver objetos distantes) en niños es común, produce cansancio visual, afecta el </w:t>
      </w:r>
      <w:r w:rsidDel="00000000" w:rsidR="00000000" w:rsidRPr="00000000">
        <w:rPr>
          <w:rFonts w:ascii="Montserrat" w:cs="Montserrat" w:eastAsia="Montserrat" w:hAnsi="Montserrat"/>
          <w:sz w:val="20"/>
          <w:szCs w:val="20"/>
          <w:rtl w:val="0"/>
        </w:rPr>
        <w:t xml:space="preserve">desempeño</w:t>
      </w:r>
      <w:r w:rsidDel="00000000" w:rsidR="00000000" w:rsidRPr="00000000">
        <w:rPr>
          <w:rFonts w:ascii="Montserrat" w:cs="Montserrat" w:eastAsia="Montserrat" w:hAnsi="Montserrat"/>
          <w:sz w:val="20"/>
          <w:szCs w:val="20"/>
          <w:rtl w:val="0"/>
        </w:rPr>
        <w:t xml:space="preserve"> escolar, así como el desarrollo de habilidades sociales y deportivas</w:t>
      </w:r>
    </w:p>
    <w:p w:rsidR="00000000" w:rsidDel="00000000" w:rsidP="00000000" w:rsidRDefault="00000000" w:rsidRPr="00000000" w14:paraId="0000000A">
      <w:pPr>
        <w:pageBreakBefore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B">
      <w:pPr>
        <w:pageBreakBefore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la educación primaria, según un </w:t>
      </w:r>
      <w:hyperlink r:id="rId8">
        <w:r w:rsidDel="00000000" w:rsidR="00000000" w:rsidRPr="00000000">
          <w:rPr>
            <w:rFonts w:ascii="Montserrat" w:cs="Montserrat" w:eastAsia="Montserrat" w:hAnsi="Montserrat"/>
            <w:color w:val="1155cc"/>
            <w:sz w:val="20"/>
            <w:szCs w:val="20"/>
            <w:u w:val="single"/>
            <w:rtl w:val="0"/>
          </w:rPr>
          <w:t xml:space="preserve">estudio</w:t>
        </w:r>
      </w:hyperlink>
      <w:r w:rsidDel="00000000" w:rsidR="00000000" w:rsidRPr="00000000">
        <w:rPr>
          <w:rFonts w:ascii="Montserrat" w:cs="Montserrat" w:eastAsia="Montserrat" w:hAnsi="Montserrat"/>
          <w:sz w:val="20"/>
          <w:szCs w:val="20"/>
          <w:rtl w:val="0"/>
        </w:rPr>
        <w:t xml:space="preserve"> de la Revista Mexicana de Oftalmología, la prevalencia de la miopía es del 13.7%, cifra que alcanza el 69.7% en la secundaria por cambios en el estilo de vida y la carga escolar. Llevar a los hijos a exámenes anuales de la vista y cubrir sus necesidades de visión es vital, pues les garantizará un mejor futuro y calidad de vida.</w:t>
      </w:r>
    </w:p>
    <w:p w:rsidR="00000000" w:rsidDel="00000000" w:rsidP="00000000" w:rsidRDefault="00000000" w:rsidRPr="00000000" w14:paraId="0000000C">
      <w:pPr>
        <w:pageBreakBefore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pageBreakBefore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contrarrestar el avance de la miopía y atender al segmento infantil, las compañías Essilor (líder en el desarrollo de productos especializados para la visión) y Miraflex (referencia mundial en armazones pediátricos) colaboran para ofrecer soluciones integrales en beneficio de la salud visual de los niños y adolescentes mexicanos. </w:t>
      </w:r>
    </w:p>
    <w:p w:rsidR="00000000" w:rsidDel="00000000" w:rsidP="00000000" w:rsidRDefault="00000000" w:rsidRPr="00000000" w14:paraId="0000000E">
      <w:pPr>
        <w:pageBreakBefore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pageBreakBefore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sinergia entre las lentes de Essilor y los armazones de Miraflex llega al país como la opción más completa para la corrección visual de los pequeños, mediante armazones que se adaptan perfectamente a su estructura facial, fabricados con materiales seguros, resistentes e hipoalergénicos.</w:t>
      </w:r>
    </w:p>
    <w:p w:rsidR="00000000" w:rsidDel="00000000" w:rsidP="00000000" w:rsidRDefault="00000000" w:rsidRPr="00000000" w14:paraId="00000010">
      <w:pPr>
        <w:pageBreakBefore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pageBreakBefore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 acuerdo con Alejandro Rodríguez, Director General de Essilor México, el objetivo de esta unión es “apoyar la lucha contra la miopía y cuidar la salud visual de los niños, con productos oftálmicos pediátricos diferenciados para cada edad que combinan seguridad, calidad, funcionalidad y estética”.</w:t>
      </w:r>
    </w:p>
    <w:p w:rsidR="00000000" w:rsidDel="00000000" w:rsidP="00000000" w:rsidRDefault="00000000" w:rsidRPr="00000000" w14:paraId="00000012">
      <w:pPr>
        <w:pageBreakBefore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pageBreakBefore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Las primeras líneas que esta alianza pondrá en el mercado nacional durante el 2021 son Flexible &amp; Segura, para niños de 3 meses a 10 años de edad, que al no contar con partes metálicas mitigan golpes faciales y oculares; y Fashion Kids, con divertidos diseños inspirados en tendencias que mezclan colores, texturas y acabados ideales para los pequeños del hogar.</w:t>
      </w:r>
    </w:p>
    <w:p w:rsidR="00000000" w:rsidDel="00000000" w:rsidP="00000000" w:rsidRDefault="00000000" w:rsidRPr="00000000" w14:paraId="00000014">
      <w:pPr>
        <w:pageBreakBefore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pageBreakBefore w:val="0"/>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más información, por favor visite el</w:t>
      </w:r>
      <w:hyperlink r:id="rId9">
        <w:r w:rsidDel="00000000" w:rsidR="00000000" w:rsidRPr="00000000">
          <w:rPr>
            <w:rFonts w:ascii="Montserrat" w:cs="Montserrat" w:eastAsia="Montserrat" w:hAnsi="Montserrat"/>
            <w:color w:val="1155cc"/>
            <w:sz w:val="20"/>
            <w:szCs w:val="20"/>
            <w:u w:val="single"/>
            <w:rtl w:val="0"/>
          </w:rPr>
          <w:t xml:space="preserve"> sitio web</w:t>
        </w:r>
      </w:hyperlink>
      <w:r w:rsidDel="00000000" w:rsidR="00000000" w:rsidRPr="00000000">
        <w:rPr>
          <w:rFonts w:ascii="Calibri" w:cs="Calibri" w:eastAsia="Calibri" w:hAnsi="Calibri"/>
          <w:sz w:val="15"/>
          <w:szCs w:val="15"/>
          <w:rtl w:val="0"/>
        </w:rPr>
        <w:t xml:space="preserve"> </w:t>
      </w:r>
      <w:r w:rsidDel="00000000" w:rsidR="00000000" w:rsidRPr="00000000">
        <w:rPr>
          <w:rFonts w:ascii="Montserrat" w:cs="Montserrat" w:eastAsia="Montserrat" w:hAnsi="Montserrat"/>
          <w:sz w:val="20"/>
          <w:szCs w:val="20"/>
          <w:rtl w:val="0"/>
        </w:rPr>
        <w:t xml:space="preserve">o síganos en redes sociales:</w:t>
      </w:r>
    </w:p>
    <w:p w:rsidR="00000000" w:rsidDel="00000000" w:rsidP="00000000" w:rsidRDefault="00000000" w:rsidRPr="00000000" w14:paraId="00000016">
      <w:pPr>
        <w:pageBreakBefore w:val="0"/>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Facebook </w:t>
      </w:r>
      <w:hyperlink r:id="rId10">
        <w:r w:rsidDel="00000000" w:rsidR="00000000" w:rsidRPr="00000000">
          <w:rPr>
            <w:rFonts w:ascii="Montserrat" w:cs="Montserrat" w:eastAsia="Montserrat" w:hAnsi="Montserrat"/>
            <w:color w:val="1155cc"/>
            <w:sz w:val="20"/>
            <w:szCs w:val="20"/>
            <w:u w:val="single"/>
            <w:rtl w:val="0"/>
          </w:rPr>
          <w:t xml:space="preserve">@Essilormexico</w:t>
        </w:r>
      </w:hyperlink>
      <w:r w:rsidDel="00000000" w:rsidR="00000000" w:rsidRPr="00000000">
        <w:rPr>
          <w:rtl w:val="0"/>
        </w:rPr>
      </w:r>
    </w:p>
    <w:p w:rsidR="00000000" w:rsidDel="00000000" w:rsidP="00000000" w:rsidRDefault="00000000" w:rsidRPr="00000000" w14:paraId="00000017">
      <w:pPr>
        <w:pageBreakBefore w:val="0"/>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Twitter </w:t>
      </w:r>
      <w:hyperlink r:id="rId11">
        <w:r w:rsidDel="00000000" w:rsidR="00000000" w:rsidRPr="00000000">
          <w:rPr>
            <w:rFonts w:ascii="Montserrat" w:cs="Montserrat" w:eastAsia="Montserrat" w:hAnsi="Montserrat"/>
            <w:color w:val="1155cc"/>
            <w:sz w:val="20"/>
            <w:szCs w:val="20"/>
            <w:u w:val="single"/>
            <w:rtl w:val="0"/>
          </w:rPr>
          <w:t xml:space="preserve">@EssilorMexico</w:t>
        </w:r>
      </w:hyperlink>
      <w:r w:rsidDel="00000000" w:rsidR="00000000" w:rsidRPr="00000000">
        <w:rPr>
          <w:rtl w:val="0"/>
        </w:rPr>
      </w:r>
    </w:p>
    <w:p w:rsidR="00000000" w:rsidDel="00000000" w:rsidP="00000000" w:rsidRDefault="00000000" w:rsidRPr="00000000" w14:paraId="00000018">
      <w:pPr>
        <w:pageBreakBefore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9">
      <w:pPr>
        <w:pageBreakBefore w:val="0"/>
        <w:rPr>
          <w:sz w:val="11"/>
          <w:szCs w:val="11"/>
        </w:rPr>
      </w:pPr>
      <w:r w:rsidDel="00000000" w:rsidR="00000000" w:rsidRPr="00000000">
        <w:rPr>
          <w:rtl w:val="0"/>
        </w:rPr>
      </w:r>
    </w:p>
    <w:p w:rsidR="00000000" w:rsidDel="00000000" w:rsidP="00000000" w:rsidRDefault="00000000" w:rsidRPr="00000000" w14:paraId="0000001A">
      <w:pPr>
        <w:pageBreakBefore w:val="0"/>
        <w:rPr>
          <w:rFonts w:ascii="Calibri" w:cs="Calibri" w:eastAsia="Calibri" w:hAnsi="Calibri"/>
          <w:b w:val="1"/>
          <w:sz w:val="10"/>
          <w:szCs w:val="10"/>
        </w:rPr>
      </w:pPr>
      <w:r w:rsidDel="00000000" w:rsidR="00000000" w:rsidRPr="00000000">
        <w:rPr>
          <w:rFonts w:ascii="Montserrat" w:cs="Montserrat" w:eastAsia="Montserrat" w:hAnsi="Montserrat"/>
          <w:b w:val="1"/>
          <w:sz w:val="20"/>
          <w:szCs w:val="20"/>
          <w:rtl w:val="0"/>
        </w:rPr>
        <w:t xml:space="preserve">Acerca de Essilor</w:t>
      </w:r>
      <w:r w:rsidDel="00000000" w:rsidR="00000000" w:rsidRPr="00000000">
        <w:rPr>
          <w:rtl w:val="0"/>
        </w:rPr>
      </w:r>
    </w:p>
    <w:p w:rsidR="00000000" w:rsidDel="00000000" w:rsidP="00000000" w:rsidRDefault="00000000" w:rsidRPr="00000000" w14:paraId="0000001B">
      <w:pPr>
        <w:pageBreakBefore w:val="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Essilor es la compañía líder mundial en soluciones para la visión. Diseña, fabrica y comercializa una amplia gama de lentes para mejorar y proteger la vista. Su misión es mejorar la vida de las personas mejorando su visión. Essilor destina más de 200 millones de euros al año en investigación e innovación con el fin de ofrecer productos innovadores y eficaces en el mercado. Sus principales marcas son: Varilux®, Crizal®, Transitions®, EyezenTM, Xperio®, Foster Grant®, BolonTM y Costa®. También desarrolla y comercializa equipos, instrumentos y servicios para profesionales de la salud visual.</w:t>
      </w:r>
    </w:p>
    <w:p w:rsidR="00000000" w:rsidDel="00000000" w:rsidP="00000000" w:rsidRDefault="00000000" w:rsidRPr="00000000" w14:paraId="0000001C">
      <w:pPr>
        <w:pageBreakBefore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D">
      <w:pPr>
        <w:pageBreakBefore w:val="0"/>
        <w:jc w:val="both"/>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Essilor reportó ingresos consolidados de alrededor de 8.6 billones de euros en 2019 y genera empleos para aproximadamente 74,000 personas en todo el mundo. Cuenta con 34 plantas, 481 laboratorios de prescripción y tallado, así como 4 centros de investigación y desarrollo en todo el mundo. </w:t>
      </w:r>
      <w:r w:rsidDel="00000000" w:rsidR="00000000" w:rsidRPr="00000000">
        <w:rPr>
          <w:rtl w:val="0"/>
        </w:rPr>
      </w:r>
    </w:p>
    <w:p w:rsidR="00000000" w:rsidDel="00000000" w:rsidP="00000000" w:rsidRDefault="00000000" w:rsidRPr="00000000" w14:paraId="0000001E">
      <w:pPr>
        <w:pageBreakBefore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F">
      <w:pPr>
        <w:pageBreakBefore w:val="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0">
      <w:pPr>
        <w:pageBreakBefore w:val="0"/>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MIRAFLEX</w:t>
      </w:r>
    </w:p>
    <w:p w:rsidR="00000000" w:rsidDel="00000000" w:rsidP="00000000" w:rsidRDefault="00000000" w:rsidRPr="00000000" w14:paraId="00000022">
      <w:pPr>
        <w:pageBreakBefore w:val="0"/>
        <w:spacing w:after="12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Miraflex S.A.S. es una empresa de trayectoria mundial con tecnología e insumos italianos, nacida a principios de los años 90 con el firme propósito de diseñar, fabricar y comercializar los armazones más adecuados para los niños.  Su amor por los más pequeños la ha llevado a posicionarse como una de las compañías pioneras en la industria óptica pediátrica. Actualmente hace parte del Grupo Essilor con quien ha unido esfuerzos en la lucha por corregir los defectos visuales en niños y adolescentes por medio de  armazones que permiten el correcto desarrollo de su visión sin limitar sus actividades diarias. Porque un niño necesita ver bien no solamente el pizarrón, sino que cualquiera sea la actividad que desarrolle, debe poderlo hacer seguro, viendo bien y viéndose bien.</w:t>
      </w:r>
    </w:p>
    <w:p w:rsidR="00000000" w:rsidDel="00000000" w:rsidP="00000000" w:rsidRDefault="00000000" w:rsidRPr="00000000" w14:paraId="00000023">
      <w:pPr>
        <w:pageBreakBefore w:val="0"/>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4">
      <w:pPr>
        <w:pageBreakBefore w:val="0"/>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Contacto de prensa:</w:t>
      </w:r>
    </w:p>
    <w:p w:rsidR="00000000" w:rsidDel="00000000" w:rsidP="00000000" w:rsidRDefault="00000000" w:rsidRPr="00000000" w14:paraId="00000025">
      <w:pPr>
        <w:pageBreakBefore w:val="0"/>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Victor Sanchéz</w:t>
      </w:r>
      <w:r w:rsidDel="00000000" w:rsidR="00000000" w:rsidRPr="00000000">
        <w:rPr>
          <w:rFonts w:ascii="Montserrat" w:cs="Montserrat" w:eastAsia="Montserrat" w:hAnsi="Montserrat"/>
          <w:sz w:val="20"/>
          <w:szCs w:val="20"/>
          <w:rtl w:val="0"/>
        </w:rPr>
        <w:tab/>
        <w:tab/>
        <w:tab/>
        <w:tab/>
        <w:tab/>
      </w:r>
    </w:p>
    <w:p w:rsidR="00000000" w:rsidDel="00000000" w:rsidP="00000000" w:rsidRDefault="00000000" w:rsidRPr="00000000" w14:paraId="00000026">
      <w:pPr>
        <w:pageBreakBefore w:val="0"/>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color w:val="0000ff"/>
          <w:sz w:val="20"/>
          <w:szCs w:val="20"/>
          <w:u w:val="single"/>
          <w:rtl w:val="0"/>
        </w:rPr>
        <w:t xml:space="preserve">victor.sanchez</w:t>
      </w:r>
      <w:hyperlink r:id="rId12">
        <w:r w:rsidDel="00000000" w:rsidR="00000000" w:rsidRPr="00000000">
          <w:rPr>
            <w:rFonts w:ascii="Montserrat" w:cs="Montserrat" w:eastAsia="Montserrat" w:hAnsi="Montserrat"/>
            <w:color w:val="0000ff"/>
            <w:sz w:val="20"/>
            <w:szCs w:val="20"/>
            <w:u w:val="single"/>
            <w:rtl w:val="0"/>
          </w:rPr>
          <w:t xml:space="preserve">@another.co</w:t>
        </w:r>
      </w:hyperlink>
      <w:r w:rsidDel="00000000" w:rsidR="00000000" w:rsidRPr="00000000">
        <w:rPr>
          <w:rFonts w:ascii="Montserrat" w:cs="Montserrat" w:eastAsia="Montserrat" w:hAnsi="Montserrat"/>
          <w:color w:val="0000ff"/>
          <w:sz w:val="20"/>
          <w:szCs w:val="20"/>
          <w:u w:val="single"/>
          <w:rtl w:val="0"/>
        </w:rPr>
        <w:tab/>
      </w:r>
      <w:r w:rsidDel="00000000" w:rsidR="00000000" w:rsidRPr="00000000">
        <w:rPr>
          <w:rFonts w:ascii="Montserrat" w:cs="Montserrat" w:eastAsia="Montserrat" w:hAnsi="Montserrat"/>
          <w:sz w:val="20"/>
          <w:szCs w:val="20"/>
          <w:rtl w:val="0"/>
        </w:rPr>
        <w:tab/>
        <w:tab/>
        <w:tab/>
      </w:r>
    </w:p>
    <w:p w:rsidR="00000000" w:rsidDel="00000000" w:rsidP="00000000" w:rsidRDefault="00000000" w:rsidRPr="00000000" w14:paraId="00000027">
      <w:pPr>
        <w:pageBreakBefore w:val="0"/>
        <w:spacing w:line="240" w:lineRule="auto"/>
        <w:jc w:val="both"/>
        <w:rPr/>
      </w:pPr>
      <w:r w:rsidDel="00000000" w:rsidR="00000000" w:rsidRPr="00000000">
        <w:rPr>
          <w:rFonts w:ascii="Montserrat" w:cs="Montserrat" w:eastAsia="Montserrat" w:hAnsi="Montserrat"/>
          <w:b w:val="1"/>
          <w:sz w:val="20"/>
          <w:szCs w:val="20"/>
          <w:rtl w:val="0"/>
        </w:rPr>
        <w:t xml:space="preserve">Another Company</w:t>
        <w:tab/>
        <w:tab/>
        <w:tab/>
        <w:tab/>
      </w:r>
      <w:r w:rsidDel="00000000" w:rsidR="00000000" w:rsidRPr="00000000">
        <w:rPr>
          <w:rtl w:val="0"/>
        </w:rPr>
      </w:r>
    </w:p>
    <w:sectPr>
      <w:headerReference r:id="rId13" w:type="default"/>
      <w:pgSz w:h="16834" w:w="11909" w:orient="portrait"/>
      <w:pgMar w:bottom="1440" w:top="1440" w:left="1440" w:right="1440" w:header="43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ageBreakBefore w:val="0"/>
      <w:ind w:left="-708.6614173228347" w:right="-749.5275590551165" w:firstLine="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4292925</wp:posOffset>
          </wp:positionH>
          <wp:positionV relativeFrom="paragraph">
            <wp:posOffset>133350</wp:posOffset>
          </wp:positionV>
          <wp:extent cx="1433513" cy="503371"/>
          <wp:effectExtent b="0" l="0" r="0" t="0"/>
          <wp:wrapSquare wrapText="bothSides" distB="0" distT="0" distL="0" distR="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3513" cy="503371"/>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-380999</wp:posOffset>
          </wp:positionH>
          <wp:positionV relativeFrom="paragraph">
            <wp:posOffset>-57149</wp:posOffset>
          </wp:positionV>
          <wp:extent cx="1666875" cy="97155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b="10424" l="-15444" r="-19691" t="10810"/>
                  <a:stretch>
                    <a:fillRect/>
                  </a:stretch>
                </pic:blipFill>
                <pic:spPr>
                  <a:xfrm>
                    <a:off x="0" y="0"/>
                    <a:ext cx="1666875" cy="971550"/>
                  </a:xfrm>
                  <a:prstGeom prst="rect"/>
                  <a:ln/>
                </pic:spPr>
              </pic:pic>
            </a:graphicData>
          </a:graphic>
        </wp:anchor>
      </w:drawing>
    </w:r>
  </w:p>
  <w:p w:rsidR="00000000" w:rsidDel="00000000" w:rsidP="00000000" w:rsidRDefault="00000000" w:rsidRPr="00000000" w14:paraId="00000029">
    <w:pPr>
      <w:pageBreakBefore w:val="0"/>
      <w:ind w:left="-708.6614173228347" w:right="-749.5275590551165" w:firstLine="0"/>
      <w:rPr/>
    </w:pPr>
    <w:r w:rsidDel="00000000" w:rsidR="00000000" w:rsidRPr="00000000">
      <w:rPr>
        <w:rtl w:val="0"/>
      </w:rPr>
    </w:r>
  </w:p>
  <w:p w:rsidR="00000000" w:rsidDel="00000000" w:rsidP="00000000" w:rsidRDefault="00000000" w:rsidRPr="00000000" w14:paraId="0000002A">
    <w:pPr>
      <w:pageBreakBefore w:val="0"/>
      <w:ind w:left="-708.6614173228347" w:right="-749.5275590551165" w:firstLine="0"/>
      <w:rPr/>
    </w:pPr>
    <w:r w:rsidDel="00000000" w:rsidR="00000000" w:rsidRPr="00000000">
      <w:rPr>
        <w:rtl w:val="0"/>
      </w:rPr>
    </w:r>
  </w:p>
  <w:p w:rsidR="00000000" w:rsidDel="00000000" w:rsidP="00000000" w:rsidRDefault="00000000" w:rsidRPr="00000000" w14:paraId="0000002B">
    <w:pPr>
      <w:pageBreakBefore w:val="0"/>
      <w:ind w:left="-708.6614173228347" w:right="-749.5275590551165" w:firstLine="0"/>
      <w:rPr/>
    </w:pPr>
    <w:r w:rsidDel="00000000" w:rsidR="00000000" w:rsidRPr="00000000">
      <w:rPr>
        <w:rtl w:val="0"/>
      </w:rPr>
    </w:r>
  </w:p>
  <w:p w:rsidR="00000000" w:rsidDel="00000000" w:rsidP="00000000" w:rsidRDefault="00000000" w:rsidRPr="00000000" w14:paraId="0000002C">
    <w:pPr>
      <w:pageBreakBefore w:val="0"/>
      <w:ind w:left="-708.6614173228347" w:right="-749.5275590551165" w:firstLine="0"/>
      <w:rPr/>
    </w:pPr>
    <w:r w:rsidDel="00000000" w:rsidR="00000000" w:rsidRPr="00000000">
      <w:rPr>
        <w:rtl w:val="0"/>
      </w:rPr>
    </w:r>
  </w:p>
  <w:p w:rsidR="00000000" w:rsidDel="00000000" w:rsidP="00000000" w:rsidRDefault="00000000" w:rsidRPr="00000000" w14:paraId="0000002D">
    <w:pPr>
      <w:pageBreakBefore w:val="0"/>
      <w:ind w:left="-708.6614173228347" w:right="-749.5275590551165"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EssilorMexico" TargetMode="External"/><Relationship Id="rId10" Type="http://schemas.openxmlformats.org/officeDocument/2006/relationships/hyperlink" Target="https://www.facebook.com/Essilormexico" TargetMode="External"/><Relationship Id="rId13" Type="http://schemas.openxmlformats.org/officeDocument/2006/relationships/header" Target="header1.xml"/><Relationship Id="rId12" Type="http://schemas.openxmlformats.org/officeDocument/2006/relationships/hyperlink" Target="mailto:brenda.rican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silor.es/" TargetMode="External"/><Relationship Id="rId5" Type="http://schemas.openxmlformats.org/officeDocument/2006/relationships/styles" Target="styles.xml"/><Relationship Id="rId6" Type="http://schemas.openxmlformats.org/officeDocument/2006/relationships/hyperlink" Target="https://www.who.int/es/news/item/08-10-2019-who-launches-first-world-report-on-vision" TargetMode="External"/><Relationship Id="rId7" Type="http://schemas.openxmlformats.org/officeDocument/2006/relationships/hyperlink" Target="https://www.dgcs.unam.mx/boletin/bdboletin/2017_365.html" TargetMode="External"/><Relationship Id="rId8" Type="http://schemas.openxmlformats.org/officeDocument/2006/relationships/hyperlink" Target="https://www.researchgate.net/publication/305924920_Prevalencia_y_factores_asociados_a_miopia_en_jove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